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5D63" w14:textId="1B9268A7" w:rsidR="00995D1A" w:rsidRDefault="00995D1A" w:rsidP="00995D1A">
      <w:pPr>
        <w:rPr>
          <w:b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5F6B93B4" wp14:editId="73655203">
            <wp:extent cx="1722357" cy="485056"/>
            <wp:effectExtent l="0" t="0" r="0" b="0"/>
            <wp:docPr id="1" name="Obraz 1" descr="EMIN-log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IN-logo-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56" cy="48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C8DC2F6" wp14:editId="6308B4C1">
            <wp:extent cx="10350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429E" w14:textId="77777777" w:rsidR="00995D1A" w:rsidRDefault="00995D1A" w:rsidP="004A6A31">
      <w:pPr>
        <w:jc w:val="center"/>
        <w:rPr>
          <w:b/>
        </w:rPr>
      </w:pPr>
    </w:p>
    <w:p w14:paraId="2494CE9F" w14:textId="0571D074" w:rsidR="004A6A31" w:rsidRPr="005553DD" w:rsidRDefault="00ED75F6" w:rsidP="004A6A31">
      <w:pPr>
        <w:jc w:val="center"/>
      </w:pPr>
      <w:r w:rsidRPr="004A6A31">
        <w:rPr>
          <w:b/>
        </w:rPr>
        <w:t>Deklaracja Polskiej Sieci na rzecz Godnej Pieniężnej Pomocy Społecznej</w:t>
      </w:r>
      <w:r w:rsidR="005E6968" w:rsidRPr="004A6A31">
        <w:rPr>
          <w:b/>
        </w:rPr>
        <w:t xml:space="preserve"> </w:t>
      </w:r>
      <w:r w:rsidR="0002054A">
        <w:rPr>
          <w:b/>
        </w:rPr>
        <w:br/>
      </w:r>
      <w:r w:rsidR="005553DD">
        <w:t>P</w:t>
      </w:r>
      <w:r w:rsidR="005553DD" w:rsidRPr="005553DD">
        <w:t>rojekt z sierpnia 2014 r.</w:t>
      </w:r>
    </w:p>
    <w:p w14:paraId="2A733D48" w14:textId="77777777" w:rsidR="004A6A31" w:rsidRDefault="004A6A31" w:rsidP="005553DD">
      <w:pPr>
        <w:jc w:val="both"/>
        <w:rPr>
          <w:b/>
        </w:rPr>
      </w:pPr>
    </w:p>
    <w:p w14:paraId="140D9617" w14:textId="77777777" w:rsidR="00BC27C2" w:rsidRDefault="004A6A31" w:rsidP="005553DD">
      <w:pPr>
        <w:jc w:val="both"/>
      </w:pPr>
      <w:r w:rsidRPr="004A6A31">
        <w:t xml:space="preserve">Deklaracja powstała </w:t>
      </w:r>
      <w:r>
        <w:t xml:space="preserve">w ramach </w:t>
      </w:r>
      <w:r w:rsidR="0002054A">
        <w:t xml:space="preserve">działania </w:t>
      </w:r>
      <w:r>
        <w:t>Europejsk</w:t>
      </w:r>
      <w:r w:rsidR="0002054A">
        <w:t>iej</w:t>
      </w:r>
      <w:r>
        <w:t xml:space="preserve"> Sie</w:t>
      </w:r>
      <w:r w:rsidR="0002054A">
        <w:t>ci</w:t>
      </w:r>
      <w:r>
        <w:t xml:space="preserve"> na rzecz Dochodu Minimalnego</w:t>
      </w:r>
      <w:r w:rsidR="005553DD">
        <w:t xml:space="preserve"> (</w:t>
      </w:r>
      <w:proofErr w:type="spellStart"/>
      <w:r w:rsidR="00BD2B67">
        <w:fldChar w:fldCharType="begin"/>
      </w:r>
      <w:r w:rsidR="00BD2B67">
        <w:instrText xml:space="preserve"> HYPERLINK "http://emin-eu.net" </w:instrText>
      </w:r>
      <w:r w:rsidR="00BD2B67">
        <w:fldChar w:fldCharType="separate"/>
      </w:r>
      <w:r w:rsidR="005553DD" w:rsidRPr="00BD2B67">
        <w:rPr>
          <w:rStyle w:val="Hipercze"/>
        </w:rPr>
        <w:t>European</w:t>
      </w:r>
      <w:proofErr w:type="spellEnd"/>
      <w:r w:rsidR="005553DD" w:rsidRPr="00BD2B67">
        <w:rPr>
          <w:rStyle w:val="Hipercze"/>
        </w:rPr>
        <w:t xml:space="preserve"> Minimum </w:t>
      </w:r>
      <w:proofErr w:type="spellStart"/>
      <w:r w:rsidR="005553DD" w:rsidRPr="00BD2B67">
        <w:rPr>
          <w:rStyle w:val="Hipercze"/>
        </w:rPr>
        <w:t>Income</w:t>
      </w:r>
      <w:proofErr w:type="spellEnd"/>
      <w:r w:rsidR="005553DD" w:rsidRPr="00BD2B67">
        <w:rPr>
          <w:rStyle w:val="Hipercze"/>
        </w:rPr>
        <w:t xml:space="preserve"> Network</w:t>
      </w:r>
      <w:r w:rsidR="00BD2B67">
        <w:fldChar w:fldCharType="end"/>
      </w:r>
      <w:r w:rsidR="005553DD">
        <w:t>)</w:t>
      </w:r>
      <w:r w:rsidR="00BC27C2">
        <w:t>.</w:t>
      </w:r>
    </w:p>
    <w:p w14:paraId="5DC89474" w14:textId="570E94F4" w:rsidR="004A6A31" w:rsidRPr="004A6A31" w:rsidRDefault="00BC27C2" w:rsidP="005553DD">
      <w:pPr>
        <w:jc w:val="both"/>
      </w:pPr>
      <w:r>
        <w:t xml:space="preserve">Jej </w:t>
      </w:r>
      <w:r w:rsidR="004A6A31">
        <w:t xml:space="preserve">zasadniczym </w:t>
      </w:r>
      <w:r>
        <w:t xml:space="preserve">celem </w:t>
      </w:r>
      <w:r w:rsidR="004A6A31">
        <w:t xml:space="preserve">jest </w:t>
      </w:r>
      <w:r>
        <w:t xml:space="preserve">wywarcie presji na rzecz uchwalenia </w:t>
      </w:r>
      <w:r w:rsidR="001416B3">
        <w:t xml:space="preserve">stosownej </w:t>
      </w:r>
      <w:r w:rsidR="004A6A31">
        <w:t>dyrektywy Unii Europejskiej</w:t>
      </w:r>
      <w:r w:rsidR="0002054A">
        <w:t xml:space="preserve"> </w:t>
      </w:r>
      <w:r w:rsidR="004A6A31">
        <w:t>oraz reform w państwach członkowskich poprawiających jakość wsparcia dochodowego ostatniej szansy</w:t>
      </w:r>
      <w:r w:rsidR="0002054A">
        <w:t>.</w:t>
      </w:r>
    </w:p>
    <w:p w14:paraId="413F08C9" w14:textId="589BA25D" w:rsidR="00BC27C2" w:rsidRDefault="000A78E6" w:rsidP="005553DD">
      <w:pPr>
        <w:jc w:val="both"/>
      </w:pPr>
      <w:r>
        <w:t xml:space="preserve">Deklaracja </w:t>
      </w:r>
      <w:r w:rsidR="00BC27C2">
        <w:t xml:space="preserve">dotycząca działań, które powinny być podjęte w Polsce </w:t>
      </w:r>
      <w:r>
        <w:t xml:space="preserve">koncentruje się </w:t>
      </w:r>
      <w:r w:rsidR="00B75233">
        <w:t xml:space="preserve">na </w:t>
      </w:r>
      <w:r w:rsidR="004A6A31">
        <w:t xml:space="preserve">dwóch </w:t>
      </w:r>
      <w:r w:rsidR="005553DD">
        <w:t>formach wsparcia dochodowego</w:t>
      </w:r>
      <w:r w:rsidR="00BC27C2">
        <w:t>, są to zasiłki stały i okresowy z pomocy społecznej.</w:t>
      </w:r>
    </w:p>
    <w:p w14:paraId="76290FE3" w14:textId="6575391E" w:rsidR="005553DD" w:rsidRDefault="00BC27C2" w:rsidP="005553DD">
      <w:pPr>
        <w:jc w:val="both"/>
      </w:pPr>
      <w:r>
        <w:t xml:space="preserve">Wsparcie to jest przyznawane, jeżeli wyczerpane zostały </w:t>
      </w:r>
      <w:r w:rsidR="004A6A31">
        <w:t xml:space="preserve">wszystkie </w:t>
      </w:r>
      <w:r w:rsidR="001416B3">
        <w:t xml:space="preserve">inne </w:t>
      </w:r>
      <w:r w:rsidR="004A6A31">
        <w:t xml:space="preserve">możliwości, uprawnienia i zasoby. </w:t>
      </w:r>
      <w:r>
        <w:t xml:space="preserve">Zasiłek stały przysługuje osobom ubogim </w:t>
      </w:r>
      <w:r w:rsidR="004A6A31">
        <w:t>i całkowicie niezdolny</w:t>
      </w:r>
      <w:r>
        <w:t>m</w:t>
      </w:r>
      <w:r w:rsidR="004A6A31">
        <w:t xml:space="preserve"> do pracy z powodu wieku, </w:t>
      </w:r>
      <w:r>
        <w:t xml:space="preserve">a okresowy – osobom </w:t>
      </w:r>
      <w:r w:rsidR="004A6A31">
        <w:t>ubogi</w:t>
      </w:r>
      <w:r>
        <w:t>m</w:t>
      </w:r>
      <w:r w:rsidR="004A6A31">
        <w:t>, zdolny</w:t>
      </w:r>
      <w:r>
        <w:t>m</w:t>
      </w:r>
      <w:r w:rsidR="004A6A31">
        <w:t xml:space="preserve"> do pracy, ale </w:t>
      </w:r>
      <w:r w:rsidR="005553DD">
        <w:t xml:space="preserve">między innymi </w:t>
      </w:r>
      <w:r w:rsidR="004A6A31">
        <w:t>bezrobotny</w:t>
      </w:r>
      <w:r>
        <w:t>m</w:t>
      </w:r>
      <w:r w:rsidR="004A6A31">
        <w:t>, niepełnosprawny</w:t>
      </w:r>
      <w:r>
        <w:t>m</w:t>
      </w:r>
      <w:r w:rsidR="004A6A31">
        <w:t xml:space="preserve"> lub przewlekle chory</w:t>
      </w:r>
      <w:r>
        <w:t>m</w:t>
      </w:r>
      <w:r w:rsidR="004A6A31">
        <w:t>.</w:t>
      </w:r>
      <w:r w:rsidR="004D2692">
        <w:t xml:space="preserve"> </w:t>
      </w:r>
    </w:p>
    <w:p w14:paraId="1D2CC113" w14:textId="544D6D97" w:rsidR="004A6A31" w:rsidRDefault="00BC27C2" w:rsidP="005553DD">
      <w:pPr>
        <w:jc w:val="both"/>
      </w:pPr>
      <w:r>
        <w:t xml:space="preserve">W polskim systemie pomocy społecznej istnieją także </w:t>
      </w:r>
      <w:r w:rsidR="004D2692">
        <w:t>świadczeni</w:t>
      </w:r>
      <w:r w:rsidR="001416B3">
        <w:t>a</w:t>
      </w:r>
      <w:r w:rsidR="004D2692">
        <w:t xml:space="preserve"> pieniężne</w:t>
      </w:r>
      <w:r>
        <w:t>, które nie mają</w:t>
      </w:r>
      <w:r w:rsidR="004D2692">
        <w:t xml:space="preserve"> charakter wsparcia dochodowego ostatniej szansy. </w:t>
      </w:r>
      <w:r>
        <w:t xml:space="preserve">Są to </w:t>
      </w:r>
      <w:r w:rsidR="004D2692">
        <w:t>zasiłki celowe, które</w:t>
      </w:r>
      <w:r w:rsidR="00473712">
        <w:t xml:space="preserve"> </w:t>
      </w:r>
      <w:r w:rsidR="004D2692">
        <w:t>nie przysługują</w:t>
      </w:r>
      <w:r w:rsidR="001416B3">
        <w:t xml:space="preserve"> obywatelom</w:t>
      </w:r>
      <w:r w:rsidR="00473712">
        <w:t xml:space="preserve">, a tylko mogą być </w:t>
      </w:r>
      <w:r w:rsidR="001416B3">
        <w:t xml:space="preserve">im </w:t>
      </w:r>
      <w:r w:rsidR="00473712">
        <w:t>przyznane.</w:t>
      </w:r>
      <w:r w:rsidR="004D2692">
        <w:t xml:space="preserve"> </w:t>
      </w:r>
      <w:r w:rsidR="00473712">
        <w:t>S</w:t>
      </w:r>
      <w:r w:rsidR="004D2692">
        <w:t xml:space="preserve">ą </w:t>
      </w:r>
      <w:r w:rsidR="00473712">
        <w:t xml:space="preserve">one przeznaczone </w:t>
      </w:r>
      <w:r w:rsidR="004D2692">
        <w:t>na zaspokojenie konkretnych potrzeb, nie muszą trafiać bezpośrednio do wspomaganych, ani też nie musz</w:t>
      </w:r>
      <w:r w:rsidR="005553DD">
        <w:t>ą</w:t>
      </w:r>
      <w:r w:rsidR="004D2692">
        <w:t xml:space="preserve"> mieć koniecznie postaci pieniężnej.</w:t>
      </w:r>
    </w:p>
    <w:p w14:paraId="2AC020D0" w14:textId="77777777" w:rsidR="00473712" w:rsidRPr="00473712" w:rsidRDefault="004D2692" w:rsidP="005553DD">
      <w:pPr>
        <w:jc w:val="both"/>
        <w:rPr>
          <w:b/>
        </w:rPr>
      </w:pPr>
      <w:r w:rsidRPr="00473712">
        <w:rPr>
          <w:b/>
        </w:rPr>
        <w:t xml:space="preserve">Dlaczego wsparcie dochodowe ostatniej szansy jest ważne? </w:t>
      </w:r>
    </w:p>
    <w:p w14:paraId="48A7F0BD" w14:textId="77777777" w:rsidR="00473712" w:rsidRDefault="004D2692" w:rsidP="005553DD">
      <w:pPr>
        <w:jc w:val="both"/>
      </w:pPr>
      <w:r>
        <w:t xml:space="preserve">Ubóstwo, w szczególności skrajne stanowi zagrożenie dla zdrowia i rozwoju rodziny i jej poszczególnych członków, w tym szczególnie dzieci. </w:t>
      </w:r>
    </w:p>
    <w:p w14:paraId="303AAE8F" w14:textId="77777777" w:rsidR="00473712" w:rsidRDefault="004D2692" w:rsidP="005553DD">
      <w:pPr>
        <w:jc w:val="both"/>
      </w:pPr>
      <w:r>
        <w:t xml:space="preserve">Ubóstwo zmusza ludzi do koncentrowania się na przeżyciu </w:t>
      </w:r>
      <w:r w:rsidR="003963D8">
        <w:t xml:space="preserve">z dnia na dzień </w:t>
      </w:r>
      <w:r>
        <w:t>i teraźniejszości, a nie na podejmowaniu ryzyka i inwestowaniu w przyszłość</w:t>
      </w:r>
      <w:r w:rsidR="005553DD">
        <w:t>, co jest zasadnicze dla wyjścia z ubóstwa</w:t>
      </w:r>
      <w:r>
        <w:t xml:space="preserve">. </w:t>
      </w:r>
    </w:p>
    <w:p w14:paraId="2CDF4157" w14:textId="77777777" w:rsidR="00473712" w:rsidRDefault="00473712" w:rsidP="005553DD">
      <w:pPr>
        <w:jc w:val="both"/>
      </w:pPr>
      <w:r>
        <w:t xml:space="preserve">Ubóstwo sprzyja nadmiernemu zadłużaniu się, które prowadzi do  </w:t>
      </w:r>
      <w:r w:rsidR="004D2692">
        <w:t xml:space="preserve">utraty nie tylko godności, </w:t>
      </w:r>
      <w:r w:rsidR="003963D8">
        <w:t xml:space="preserve">ale też pewnego mieszkania i własności oraz </w:t>
      </w:r>
      <w:r w:rsidR="005553DD">
        <w:t>utrudnie</w:t>
      </w:r>
      <w:r>
        <w:t>ń</w:t>
      </w:r>
      <w:r w:rsidR="005553DD">
        <w:t xml:space="preserve"> w </w:t>
      </w:r>
      <w:r w:rsidR="00744F5E">
        <w:t>podejmowani</w:t>
      </w:r>
      <w:r w:rsidR="005553DD">
        <w:t>u</w:t>
      </w:r>
      <w:r w:rsidR="00744F5E">
        <w:t xml:space="preserve"> zarejestrowanej pracy ze względu na egzekucję komorniczą</w:t>
      </w:r>
      <w:r w:rsidR="005553DD">
        <w:t xml:space="preserve"> z wynagrodzenia</w:t>
      </w:r>
      <w:r w:rsidR="004D2692">
        <w:t>.</w:t>
      </w:r>
      <w:r w:rsidR="00744F5E">
        <w:t xml:space="preserve"> </w:t>
      </w:r>
    </w:p>
    <w:p w14:paraId="0673867E" w14:textId="0BDA7DFA" w:rsidR="004D2692" w:rsidRDefault="00744F5E" w:rsidP="005553DD">
      <w:pPr>
        <w:jc w:val="both"/>
      </w:pPr>
      <w:r>
        <w:t>Ponadto, ubóstwo jest też przejawem głębszego zjawiska w społeczeństwie, jakim jest nierówność społeczna</w:t>
      </w:r>
      <w:r w:rsidR="005553DD">
        <w:t xml:space="preserve">. Jej </w:t>
      </w:r>
      <w:r>
        <w:t>konsekwencje</w:t>
      </w:r>
      <w:r w:rsidR="005553DD">
        <w:t xml:space="preserve"> to</w:t>
      </w:r>
      <w:r>
        <w:t xml:space="preserve"> wielowymiarowe uprzywilejowanie jednych i upośledzenie innych</w:t>
      </w:r>
      <w:r w:rsidR="005553DD">
        <w:t>, co grozi podziałami społecznymi,</w:t>
      </w:r>
      <w:r w:rsidR="0002054A">
        <w:t xml:space="preserve"> osłabia zaufanie w społeczeństwie, </w:t>
      </w:r>
      <w:r w:rsidR="005553DD">
        <w:t>wzmacnia poparcie dla skrajnych grup politycznych</w:t>
      </w:r>
      <w:r w:rsidR="0002054A">
        <w:t>, a tym samym</w:t>
      </w:r>
      <w:r w:rsidR="005553DD">
        <w:t xml:space="preserve"> szkodzi rozwojowi Polski</w:t>
      </w:r>
      <w:r>
        <w:t>.</w:t>
      </w:r>
    </w:p>
    <w:p w14:paraId="6A6C0F7A" w14:textId="77777777" w:rsidR="008741BC" w:rsidRDefault="008741BC" w:rsidP="00A31E3A">
      <w:pPr>
        <w:rPr>
          <w:b/>
        </w:rPr>
      </w:pPr>
    </w:p>
    <w:p w14:paraId="5AC58750" w14:textId="77777777" w:rsidR="00995D1A" w:rsidRDefault="00995D1A" w:rsidP="00A31E3A">
      <w:pPr>
        <w:rPr>
          <w:b/>
        </w:rPr>
      </w:pPr>
    </w:p>
    <w:p w14:paraId="66E4EE30" w14:textId="77777777" w:rsidR="00995D1A" w:rsidRDefault="00995D1A" w:rsidP="00A31E3A">
      <w:pPr>
        <w:rPr>
          <w:b/>
        </w:rPr>
      </w:pPr>
    </w:p>
    <w:p w14:paraId="7E65AEB0" w14:textId="3745F6A2" w:rsidR="00546E83" w:rsidRPr="008741BC" w:rsidRDefault="008741BC" w:rsidP="00A31E3A">
      <w:pPr>
        <w:rPr>
          <w:b/>
        </w:rPr>
      </w:pPr>
      <w:bookmarkStart w:id="0" w:name="_GoBack"/>
      <w:bookmarkEnd w:id="0"/>
      <w:r>
        <w:rPr>
          <w:b/>
        </w:rPr>
        <w:lastRenderedPageBreak/>
        <w:t>Alarmujące fakty</w:t>
      </w:r>
      <w:r w:rsidR="00473712">
        <w:rPr>
          <w:b/>
        </w:rPr>
        <w:t>. Dlaczego potrzebne są reformy, które poprawią sytuację dochodową najuboższych?</w:t>
      </w:r>
    </w:p>
    <w:p w14:paraId="6A0DD06D" w14:textId="3CDA411D" w:rsidR="00744F5E" w:rsidRDefault="00473712" w:rsidP="005553DD">
      <w:pPr>
        <w:pStyle w:val="Akapitzlist"/>
        <w:numPr>
          <w:ilvl w:val="0"/>
          <w:numId w:val="1"/>
        </w:numPr>
        <w:jc w:val="both"/>
      </w:pPr>
      <w:r>
        <w:t>W</w:t>
      </w:r>
      <w:r w:rsidR="00744F5E">
        <w:t xml:space="preserve"> 2013 r. </w:t>
      </w:r>
      <w:r>
        <w:t xml:space="preserve">w Polsce mieszkało </w:t>
      </w:r>
      <w:r w:rsidR="00744F5E">
        <w:t>ponad 2 miliony 800 tys. osób skrajnie ubogich</w:t>
      </w:r>
      <w:r>
        <w:t>.</w:t>
      </w:r>
      <w:r w:rsidR="00744F5E">
        <w:t xml:space="preserve"> </w:t>
      </w:r>
      <w:r>
        <w:t>Ż</w:t>
      </w:r>
      <w:r w:rsidR="00744F5E">
        <w:t>yły one w rodzinach o wydatkach poniżej minimum egzystencji</w:t>
      </w:r>
      <w:r>
        <w:t>.</w:t>
      </w:r>
      <w:r w:rsidR="00744F5E">
        <w:t xml:space="preserve"> </w:t>
      </w:r>
      <w:r>
        <w:t>W</w:t>
      </w:r>
      <w:r w:rsidR="00744F5E">
        <w:t xml:space="preserve"> </w:t>
      </w:r>
      <w:r>
        <w:t xml:space="preserve">tej liczbie </w:t>
      </w:r>
      <w:r w:rsidR="00744F5E">
        <w:t xml:space="preserve">było 710 tys. dzieci </w:t>
      </w:r>
      <w:r>
        <w:t>(</w:t>
      </w:r>
      <w:r w:rsidR="00744F5E">
        <w:t>w wieku 0-17 lat</w:t>
      </w:r>
      <w:r>
        <w:t>)</w:t>
      </w:r>
      <w:r w:rsidR="00744F5E">
        <w:t>, co stanowiło ok. 25% osób w skrajnym ubóstwie</w:t>
      </w:r>
      <w:r>
        <w:t>.</w:t>
      </w:r>
      <w:r w:rsidR="00744F5E">
        <w:t xml:space="preserve"> </w:t>
      </w:r>
      <w:r>
        <w:t>W stosunku do</w:t>
      </w:r>
      <w:r w:rsidR="00744F5E">
        <w:t xml:space="preserve"> ludności ogółem było </w:t>
      </w:r>
      <w:r>
        <w:t xml:space="preserve">wówczas </w:t>
      </w:r>
      <w:r w:rsidR="00744F5E">
        <w:t>18%</w:t>
      </w:r>
      <w:r w:rsidR="003963D8">
        <w:t xml:space="preserve"> dzieci w tym wieku</w:t>
      </w:r>
      <w:r w:rsidR="00744F5E">
        <w:t>.</w:t>
      </w:r>
      <w:r w:rsidR="00BD2B67">
        <w:t xml:space="preserve"> Systematycznie wyższe wskaźniki skrajnego ubóstwa dotyczą dzieci i osób z niepełnosprawnościami.</w:t>
      </w:r>
      <w:r w:rsidR="00ED4756">
        <w:rPr>
          <w:rStyle w:val="Odwoanieprzypisudolnego"/>
        </w:rPr>
        <w:footnoteReference w:id="1"/>
      </w:r>
    </w:p>
    <w:p w14:paraId="7E9927BF" w14:textId="73CDDC60" w:rsidR="00F0654C" w:rsidRDefault="00F0654C" w:rsidP="005553DD">
      <w:pPr>
        <w:pStyle w:val="Akapitzlist"/>
        <w:numPr>
          <w:ilvl w:val="0"/>
          <w:numId w:val="1"/>
        </w:numPr>
        <w:spacing w:after="0"/>
        <w:jc w:val="both"/>
      </w:pPr>
      <w:r>
        <w:t>W</w:t>
      </w:r>
      <w:r w:rsidRPr="00F24A68">
        <w:t xml:space="preserve"> 2012 r. przeciętn</w:t>
      </w:r>
      <w:r w:rsidR="00473712">
        <w:t>ą</w:t>
      </w:r>
      <w:r w:rsidRPr="00F24A68">
        <w:t xml:space="preserve"> osobę dorosłą w rodzinach </w:t>
      </w:r>
      <w:r>
        <w:t xml:space="preserve">w skrajnym ubóstwie </w:t>
      </w:r>
      <w:r w:rsidR="00473712">
        <w:t xml:space="preserve">stać było na wydatki rzędu </w:t>
      </w:r>
      <w:r w:rsidRPr="00F24A68">
        <w:t>422 zł</w:t>
      </w:r>
      <w:r w:rsidR="00181264">
        <w:t xml:space="preserve"> (o 100 zł mniej niż poziom </w:t>
      </w:r>
      <w:r w:rsidR="00546E83">
        <w:t xml:space="preserve">takich </w:t>
      </w:r>
      <w:r w:rsidR="00181264">
        <w:t>wydatków w grupie 20% najbiedniejszych w tym roku)</w:t>
      </w:r>
      <w:r w:rsidR="00473712">
        <w:t>.</w:t>
      </w:r>
      <w:r w:rsidRPr="00F24A68">
        <w:t xml:space="preserve"> </w:t>
      </w:r>
      <w:r w:rsidR="00473712">
        <w:t>P</w:t>
      </w:r>
      <w:r w:rsidRPr="00F24A68">
        <w:t xml:space="preserve">rawie połowę </w:t>
      </w:r>
      <w:r w:rsidR="00473712">
        <w:t>(</w:t>
      </w:r>
      <w:r w:rsidRPr="00F24A68">
        <w:t>ok. 46 %</w:t>
      </w:r>
      <w:r w:rsidR="00473712">
        <w:t>)</w:t>
      </w:r>
      <w:r w:rsidRPr="00F24A68">
        <w:t xml:space="preserve"> stanowiły </w:t>
      </w:r>
      <w:r w:rsidR="00473712">
        <w:t xml:space="preserve">w tym </w:t>
      </w:r>
      <w:r w:rsidRPr="00F24A68">
        <w:t>wydatki na żywność i napoje</w:t>
      </w:r>
      <w:r w:rsidR="00181264">
        <w:t xml:space="preserve"> (w 20% najbiedniejszych </w:t>
      </w:r>
      <w:r w:rsidR="00546E83">
        <w:t xml:space="preserve">stanowiły one </w:t>
      </w:r>
      <w:r w:rsidR="00181264">
        <w:t>35%)</w:t>
      </w:r>
      <w:r w:rsidRPr="00F24A68">
        <w:t xml:space="preserve">. </w:t>
      </w:r>
      <w:r>
        <w:t>N</w:t>
      </w:r>
      <w:r w:rsidRPr="00F24A68">
        <w:t xml:space="preserve">a wszystkie pozostałe potrzeby </w:t>
      </w:r>
      <w:r w:rsidR="00473712">
        <w:t xml:space="preserve">wydawali </w:t>
      </w:r>
      <w:r w:rsidRPr="00F24A68">
        <w:t>ok.</w:t>
      </w:r>
      <w:r>
        <w:t xml:space="preserve"> </w:t>
      </w:r>
      <w:r w:rsidRPr="00F24A68">
        <w:t>145 zł</w:t>
      </w:r>
      <w:r w:rsidRPr="001807AC">
        <w:t xml:space="preserve"> </w:t>
      </w:r>
      <w:r w:rsidRPr="00F24A68">
        <w:t xml:space="preserve">na osobę, to jest ponad pięciokrotnie mniej niż w </w:t>
      </w:r>
      <w:r>
        <w:t xml:space="preserve">rodzinach </w:t>
      </w:r>
      <w:r w:rsidRPr="00F24A68">
        <w:t>żyjących powyżej minimum egzystencji.</w:t>
      </w:r>
    </w:p>
    <w:p w14:paraId="460C5A0F" w14:textId="495BD1A9" w:rsidR="003963D8" w:rsidRDefault="00473712" w:rsidP="005553DD">
      <w:pPr>
        <w:pStyle w:val="Akapitzlist"/>
        <w:numPr>
          <w:ilvl w:val="0"/>
          <w:numId w:val="1"/>
        </w:numPr>
        <w:jc w:val="both"/>
      </w:pPr>
      <w:r>
        <w:t xml:space="preserve">Obecnie stosowane przez rząd </w:t>
      </w:r>
      <w:r w:rsidR="00A31E3A">
        <w:t xml:space="preserve">kryterium i standard pomocy </w:t>
      </w:r>
      <w:r w:rsidR="00B75233">
        <w:t xml:space="preserve">ostatniej szansy </w:t>
      </w:r>
      <w:r w:rsidR="00546E83">
        <w:t xml:space="preserve">(kryterium dochodowe dla zasiłków z pomocy społecznej) </w:t>
      </w:r>
      <w:r w:rsidR="005D152F">
        <w:t xml:space="preserve">w dwóch przypadkach rodzin jest już </w:t>
      </w:r>
      <w:r w:rsidR="00A31E3A">
        <w:t>niższe niż minimum egzystencji</w:t>
      </w:r>
      <w:r w:rsidR="00574A25">
        <w:t xml:space="preserve"> w 2013 r.</w:t>
      </w:r>
      <w:r w:rsidR="005D152F">
        <w:t xml:space="preserve"> W 2011 r. było ono niższe dla większości z nich.</w:t>
      </w:r>
    </w:p>
    <w:p w14:paraId="4C6B914F" w14:textId="64517DD7" w:rsidR="002D1D7E" w:rsidRDefault="00371538" w:rsidP="00371538">
      <w:pPr>
        <w:pStyle w:val="Akapitzlist"/>
        <w:numPr>
          <w:ilvl w:val="0"/>
          <w:numId w:val="1"/>
        </w:numPr>
        <w:jc w:val="both"/>
      </w:pPr>
      <w:r>
        <w:t>Najczęściej udzielana pomoc ma charakter doraźny i nie jest uprawnieniem,</w:t>
      </w:r>
      <w:r w:rsidR="005D152F">
        <w:t xml:space="preserve"> </w:t>
      </w:r>
      <w:r w:rsidR="001416B3">
        <w:t>jest uznaniowa</w:t>
      </w:r>
      <w:r>
        <w:t xml:space="preserve">. Są to zasiłki celowe </w:t>
      </w:r>
      <w:r w:rsidR="001416B3">
        <w:t xml:space="preserve">finansowane </w:t>
      </w:r>
      <w:r>
        <w:t>ze środków własnych gmin oraz – na drugim miejscu – pomoc w formie posiłku, dotowana z budżetu państwa.</w:t>
      </w:r>
    </w:p>
    <w:p w14:paraId="7CBB8517" w14:textId="25558A28" w:rsidR="005E72BF" w:rsidRDefault="005D152F" w:rsidP="005553DD">
      <w:pPr>
        <w:pStyle w:val="Akapitzlist"/>
        <w:numPr>
          <w:ilvl w:val="0"/>
          <w:numId w:val="1"/>
        </w:numPr>
        <w:jc w:val="both"/>
      </w:pPr>
      <w:r>
        <w:t>W 2013 r. z</w:t>
      </w:r>
      <w:r w:rsidR="00546E83">
        <w:t xml:space="preserve">asiłek okresowy z pomocy społecznej </w:t>
      </w:r>
      <w:r w:rsidR="005E72BF">
        <w:t xml:space="preserve">dla osób zdolnych do pracy </w:t>
      </w:r>
      <w:r w:rsidR="00546E83">
        <w:t xml:space="preserve">wynosił </w:t>
      </w:r>
      <w:r>
        <w:t xml:space="preserve">średnio zaledwie </w:t>
      </w:r>
      <w:r w:rsidR="00546E83">
        <w:t>156 zł</w:t>
      </w:r>
      <w:r>
        <w:t xml:space="preserve"> (przyznawany jest w 80% przypadków z powodu bezrobocia)</w:t>
      </w:r>
      <w:r w:rsidR="00546E83">
        <w:t xml:space="preserve">. </w:t>
      </w:r>
    </w:p>
    <w:p w14:paraId="6BA9701C" w14:textId="402BB6CB" w:rsidR="00546E83" w:rsidRDefault="005D152F" w:rsidP="005553DD">
      <w:pPr>
        <w:pStyle w:val="Akapitzlist"/>
        <w:numPr>
          <w:ilvl w:val="0"/>
          <w:numId w:val="1"/>
        </w:numPr>
        <w:jc w:val="both"/>
      </w:pPr>
      <w:r>
        <w:t>W tym samym roku z</w:t>
      </w:r>
      <w:r w:rsidR="005E72BF">
        <w:t xml:space="preserve">asiłek stały dla osób całkowicie niezdolnych do pracy z powodu niepełnosprawności lub wieku wynosił </w:t>
      </w:r>
      <w:r>
        <w:t xml:space="preserve">tylko </w:t>
      </w:r>
      <w:r w:rsidR="005E72BF">
        <w:t xml:space="preserve">347 zł. Przy czym dla osób samotnych w takiej sytuacji było to </w:t>
      </w:r>
      <w:r>
        <w:t>384 zł.</w:t>
      </w:r>
    </w:p>
    <w:p w14:paraId="4E9ABAEC" w14:textId="77777777" w:rsidR="008741BC" w:rsidRDefault="008741BC" w:rsidP="005553DD">
      <w:pPr>
        <w:jc w:val="both"/>
        <w:rPr>
          <w:b/>
        </w:rPr>
      </w:pPr>
    </w:p>
    <w:p w14:paraId="6AE541EB" w14:textId="77777777" w:rsidR="00574A25" w:rsidRPr="008741BC" w:rsidRDefault="00574A25" w:rsidP="005553DD">
      <w:pPr>
        <w:jc w:val="both"/>
        <w:rPr>
          <w:b/>
        </w:rPr>
      </w:pPr>
      <w:r w:rsidRPr="008741BC">
        <w:rPr>
          <w:b/>
        </w:rPr>
        <w:t>Dlaczego sytuacja jest taka</w:t>
      </w:r>
      <w:r w:rsidR="00751482" w:rsidRPr="008741BC">
        <w:rPr>
          <w:b/>
        </w:rPr>
        <w:t xml:space="preserve"> zła</w:t>
      </w:r>
      <w:r w:rsidRPr="008741BC">
        <w:rPr>
          <w:b/>
        </w:rPr>
        <w:t>?</w:t>
      </w:r>
    </w:p>
    <w:p w14:paraId="39798689" w14:textId="26D6C0BD" w:rsidR="00150DE4" w:rsidRDefault="005D152F" w:rsidP="005553DD">
      <w:pPr>
        <w:pStyle w:val="Akapitzlist"/>
        <w:numPr>
          <w:ilvl w:val="0"/>
          <w:numId w:val="2"/>
        </w:numPr>
        <w:jc w:val="both"/>
      </w:pPr>
      <w:r>
        <w:t>Zawodzą s</w:t>
      </w:r>
      <w:r w:rsidR="00150DE4">
        <w:t xml:space="preserve">ystemy, które mają chronić rodzinę przed ubóstwem, czyli instrumenty rynku pracy, ubezpieczenie społeczne, zasiłki rodzinne i inne. </w:t>
      </w:r>
      <w:r w:rsidR="00DC69CF">
        <w:t>Gdyby działały sprawnie wówczas skrajnie ubogich rodzin byłoby o wiele mniej, a tym samym osób w tych rodzinach, w tym dzieci. Szczególnie</w:t>
      </w:r>
      <w:r w:rsidR="00744F5E">
        <w:t xml:space="preserve"> liczba</w:t>
      </w:r>
      <w:r w:rsidR="00DC69CF">
        <w:t xml:space="preserve"> 710 tys. skrajnie ubogich dzieci jest dowodem na to, że wsparcie dochodowe dla rodzin z dziećmi jest niedostępne</w:t>
      </w:r>
      <w:r w:rsidR="00371538">
        <w:t xml:space="preserve"> i</w:t>
      </w:r>
      <w:r w:rsidR="00744F5E">
        <w:t xml:space="preserve"> </w:t>
      </w:r>
      <w:r w:rsidR="00DC69CF">
        <w:t>niewystarczające.</w:t>
      </w:r>
    </w:p>
    <w:p w14:paraId="374EBCFD" w14:textId="3F5BB4A8" w:rsidR="005E72BF" w:rsidRDefault="005D152F" w:rsidP="00072638">
      <w:pPr>
        <w:pStyle w:val="Akapitzlist"/>
        <w:numPr>
          <w:ilvl w:val="0"/>
          <w:numId w:val="2"/>
        </w:numPr>
        <w:jc w:val="both"/>
      </w:pPr>
      <w:r>
        <w:t>Instytucje pomocy społecznej stosują zbyt niskie k</w:t>
      </w:r>
      <w:r w:rsidR="005E72BF">
        <w:t xml:space="preserve">ryterium dochodowe, które jednocześnie </w:t>
      </w:r>
      <w:r w:rsidR="0066252B">
        <w:t xml:space="preserve">decyduje o dostępie </w:t>
      </w:r>
      <w:r>
        <w:t xml:space="preserve">do pomocy </w:t>
      </w:r>
      <w:r w:rsidR="0066252B">
        <w:t xml:space="preserve">i jest </w:t>
      </w:r>
      <w:r w:rsidR="005E72BF">
        <w:t xml:space="preserve">standardem wysokości wsparcia (wysokość zasiłków ustala się jako różnicę między dochodem rodziny a kryterium dochodowym). </w:t>
      </w:r>
      <w:r>
        <w:t>W</w:t>
      </w:r>
      <w:r w:rsidR="005E72BF">
        <w:t xml:space="preserve"> 2015 r. </w:t>
      </w:r>
      <w:r>
        <w:t xml:space="preserve">podobnie jak w </w:t>
      </w:r>
      <w:r w:rsidR="005E72BF">
        <w:t>2011 r.</w:t>
      </w:r>
      <w:r w:rsidR="0066252B">
        <w:t xml:space="preserve"> kryterium dochodowe pomocy społecznej </w:t>
      </w:r>
      <w:r>
        <w:t xml:space="preserve">będzie </w:t>
      </w:r>
      <w:r w:rsidR="0066252B">
        <w:t xml:space="preserve">niższe niż minimum egzystencji. </w:t>
      </w:r>
      <w:r w:rsidR="00DC69CF">
        <w:t>Oznacza to, że w Polsce nawet skrajne ubóstwo może nie uprawniać do pomocy</w:t>
      </w:r>
      <w:r w:rsidR="00744F5E">
        <w:t xml:space="preserve"> pieniężnej ostatniej szansy</w:t>
      </w:r>
      <w:r w:rsidR="00DC69CF">
        <w:t>.</w:t>
      </w:r>
    </w:p>
    <w:p w14:paraId="781EB5ED" w14:textId="04D093FD" w:rsidR="00ED75F6" w:rsidRDefault="00ED75F6" w:rsidP="005553DD">
      <w:pPr>
        <w:pStyle w:val="Akapitzlist"/>
        <w:numPr>
          <w:ilvl w:val="0"/>
          <w:numId w:val="2"/>
        </w:numPr>
        <w:jc w:val="both"/>
      </w:pPr>
      <w:r>
        <w:t>Nie wszystkie rodziny</w:t>
      </w:r>
      <w:r w:rsidR="005D152F">
        <w:t>, które są</w:t>
      </w:r>
      <w:r>
        <w:t xml:space="preserve"> uprawnione </w:t>
      </w:r>
      <w:r w:rsidR="005D152F">
        <w:t xml:space="preserve">do wsparcia </w:t>
      </w:r>
      <w:r>
        <w:t xml:space="preserve">korzystają z </w:t>
      </w:r>
      <w:r w:rsidR="005D152F">
        <w:t>niego</w:t>
      </w:r>
      <w:r>
        <w:t xml:space="preserve">. W 2013 r. w rodzinach, które korzystały </w:t>
      </w:r>
      <w:r w:rsidR="00DC69CF">
        <w:t xml:space="preserve">z </w:t>
      </w:r>
      <w:r w:rsidR="00AD5C01">
        <w:t xml:space="preserve">zasiłków stałych i zasiłków okresowych </w:t>
      </w:r>
      <w:r w:rsidR="005D152F">
        <w:t xml:space="preserve">żyło </w:t>
      </w:r>
      <w:r w:rsidR="00AD5C01">
        <w:t>1,7</w:t>
      </w:r>
      <w:r>
        <w:t xml:space="preserve"> milion</w:t>
      </w:r>
      <w:r w:rsidR="00AD5C01">
        <w:t>a</w:t>
      </w:r>
      <w:r>
        <w:t xml:space="preserve"> osób. W tym samym roku 2,8 miliona osób </w:t>
      </w:r>
      <w:r w:rsidR="005D152F">
        <w:t xml:space="preserve">żyło </w:t>
      </w:r>
      <w:r>
        <w:t xml:space="preserve">w rodzinach z </w:t>
      </w:r>
      <w:r w:rsidR="0066252B">
        <w:t xml:space="preserve">wydatkami </w:t>
      </w:r>
      <w:r>
        <w:t>poniżej minimum egzystencji</w:t>
      </w:r>
      <w:r w:rsidR="0066252B">
        <w:t>.</w:t>
      </w:r>
      <w:r>
        <w:t xml:space="preserve"> </w:t>
      </w:r>
      <w:r w:rsidR="005D152F">
        <w:t>A zatem 1,1</w:t>
      </w:r>
      <w:r w:rsidR="00AD5C01">
        <w:t xml:space="preserve"> miliona </w:t>
      </w:r>
      <w:r w:rsidR="005D152F">
        <w:t xml:space="preserve">osób żyje </w:t>
      </w:r>
      <w:r w:rsidR="00D513D6">
        <w:t>w rodzinach</w:t>
      </w:r>
      <w:r w:rsidR="00633DF2">
        <w:t xml:space="preserve"> </w:t>
      </w:r>
      <w:r w:rsidR="00D513D6">
        <w:t>nie objętych wsparciem</w:t>
      </w:r>
      <w:r w:rsidR="00543EEC">
        <w:t xml:space="preserve"> tego rodzaju</w:t>
      </w:r>
      <w:r>
        <w:t xml:space="preserve">. </w:t>
      </w:r>
      <w:r w:rsidR="0071064F">
        <w:t xml:space="preserve">Oznacza to, że </w:t>
      </w:r>
      <w:r w:rsidR="00C911DF">
        <w:t>co najmniej 40% osób skrajnie ubogich nie korzysta z pomocy pieniężnej</w:t>
      </w:r>
      <w:r w:rsidR="00744F5E">
        <w:t xml:space="preserve"> ostatniej szansy</w:t>
      </w:r>
      <w:r w:rsidR="000A78E6">
        <w:t>,</w:t>
      </w:r>
      <w:r w:rsidR="005D152F">
        <w:t xml:space="preserve"> do której mają prawo</w:t>
      </w:r>
      <w:r w:rsidR="000A78E6">
        <w:t>.</w:t>
      </w:r>
    </w:p>
    <w:p w14:paraId="4D36321E" w14:textId="264E1F20" w:rsidR="00ED75F6" w:rsidRDefault="00BA42A1" w:rsidP="005553DD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Sposób finansowania zasiłku okresowego sprawia, że nie jest on wypłacany w pełnej wysokości. Budżet państwa </w:t>
      </w:r>
      <w:r w:rsidR="00ED75F6">
        <w:t xml:space="preserve">gwarantuje tylko 50% </w:t>
      </w:r>
      <w:r>
        <w:t xml:space="preserve">jego </w:t>
      </w:r>
      <w:r w:rsidR="00054182">
        <w:t>poziomu</w:t>
      </w:r>
      <w:r>
        <w:t>. Drugą połowę miały dopłacać gminy, ale tego nie robią</w:t>
      </w:r>
      <w:r w:rsidR="00ED75F6">
        <w:t xml:space="preserve">. </w:t>
      </w:r>
      <w:r w:rsidR="00744F5E">
        <w:t>W 2013 r. z</w:t>
      </w:r>
      <w:r w:rsidR="00ED75F6">
        <w:t xml:space="preserve">e środków własnych gminy dopłaciły tylko 2% (słownie 23 </w:t>
      </w:r>
      <w:r w:rsidR="00FC6B9A">
        <w:t>miliony</w:t>
      </w:r>
      <w:r w:rsidR="00ED75F6">
        <w:t xml:space="preserve"> na 1 miliard</w:t>
      </w:r>
      <w:r w:rsidR="00FC6B9A">
        <w:t xml:space="preserve"> złotych</w:t>
      </w:r>
      <w:r w:rsidR="00ED75F6">
        <w:t>).</w:t>
      </w:r>
      <w:r w:rsidR="00D513D6">
        <w:t xml:space="preserve"> Powoduje to, że rodziny korzystające z zasiłków okresowych są bardziej narażone na skrajne ubóstwo.</w:t>
      </w:r>
    </w:p>
    <w:p w14:paraId="332D8DD4" w14:textId="110FB89D" w:rsidR="00574A25" w:rsidRDefault="00BA42A1" w:rsidP="005553DD">
      <w:pPr>
        <w:pStyle w:val="Akapitzlist"/>
        <w:numPr>
          <w:ilvl w:val="0"/>
          <w:numId w:val="2"/>
        </w:numPr>
        <w:jc w:val="both"/>
      </w:pPr>
      <w:r>
        <w:t>Rządzącym z</w:t>
      </w:r>
      <w:r w:rsidR="00D513D6">
        <w:t>abrakło woli politycznej, aby właściwie skorzystać z systemu waloryzacji</w:t>
      </w:r>
      <w:r w:rsidR="00744F5E">
        <w:t xml:space="preserve"> kryterium-standardu wsparcia</w:t>
      </w:r>
      <w:r w:rsidR="00D513D6">
        <w:t>. O</w:t>
      </w:r>
      <w:r w:rsidR="00751482">
        <w:t xml:space="preserve">dbywa się </w:t>
      </w:r>
      <w:r w:rsidR="00D513D6">
        <w:t xml:space="preserve">ona </w:t>
      </w:r>
      <w:r w:rsidR="00574A25">
        <w:t xml:space="preserve">co trzy </w:t>
      </w:r>
      <w:r w:rsidR="00ED75F6">
        <w:t xml:space="preserve">lata </w:t>
      </w:r>
      <w:r w:rsidR="00574A25">
        <w:t>z udziałem Komisji Trójstronnej</w:t>
      </w:r>
      <w:r>
        <w:t xml:space="preserve"> i</w:t>
      </w:r>
      <w:r w:rsidR="00751482">
        <w:t xml:space="preserve"> z decydującym głosem rządu. W 2009 r. rząd nie zwaloryzował kryterium, w 2012 r. została ona przeprowadzona, ale przyjęt</w:t>
      </w:r>
      <w:r w:rsidR="00543B8C">
        <w:t xml:space="preserve">e kwoty okazały się zbyt niskie. </w:t>
      </w:r>
      <w:r w:rsidR="00D513D6">
        <w:t>Powoduje to, że nawet rodziny skrajnie ubog</w:t>
      </w:r>
      <w:r w:rsidR="00744F5E">
        <w:t>ie wypadają z systemu wsparcia, a pomoc dla tych co w nim zostają jest coraz niższa.</w:t>
      </w:r>
    </w:p>
    <w:p w14:paraId="3DD72DE4" w14:textId="77777777" w:rsidR="00BA42A1" w:rsidRDefault="00BA42A1" w:rsidP="00371538">
      <w:pPr>
        <w:pStyle w:val="Akapitzlist"/>
        <w:numPr>
          <w:ilvl w:val="0"/>
          <w:numId w:val="2"/>
        </w:numPr>
        <w:jc w:val="both"/>
      </w:pPr>
      <w:r>
        <w:t xml:space="preserve">Instytucje rynku pracy zawodzą w przypadku bezrobotnych osób ubogich. Aż </w:t>
      </w:r>
      <w:r w:rsidR="00AD5C01">
        <w:t>80% osób</w:t>
      </w:r>
      <w:r w:rsidR="00AB59B7">
        <w:t xml:space="preserve"> otrzymujących zasiłek okresowy otrzymywało go właśnie z powodu bezrobocia.</w:t>
      </w:r>
      <w:r w:rsidR="00AB2F11">
        <w:t xml:space="preserve"> </w:t>
      </w:r>
    </w:p>
    <w:p w14:paraId="75A6CB30" w14:textId="6D63DEB7" w:rsidR="00AD5C01" w:rsidRDefault="00AB2F11" w:rsidP="00371538">
      <w:pPr>
        <w:pStyle w:val="Akapitzlist"/>
        <w:numPr>
          <w:ilvl w:val="0"/>
          <w:numId w:val="2"/>
        </w:numPr>
        <w:jc w:val="both"/>
      </w:pPr>
      <w:r>
        <w:t>Mamy do czynienia z pułapką ubóstwa</w:t>
      </w:r>
      <w:r w:rsidR="00371538">
        <w:t xml:space="preserve"> – </w:t>
      </w:r>
      <w:r>
        <w:t xml:space="preserve">każda złotówka zarobku więcej oznacza jedną złotówkę mniej i tak niskiego </w:t>
      </w:r>
      <w:r w:rsidR="00BA42A1">
        <w:t>zasiłku.</w:t>
      </w:r>
      <w:r w:rsidR="00371538">
        <w:t xml:space="preserve"> </w:t>
      </w:r>
      <w:r w:rsidR="00BA42A1">
        <w:t>M</w:t>
      </w:r>
      <w:r w:rsidR="00371538">
        <w:t>ożliwość otrzymywania pomocy po zwykle niewielkim przekroczeniu kryterium dochodowego ze względu na zarobki jest bardzo ograniczona</w:t>
      </w:r>
      <w:r w:rsidR="00BA42A1">
        <w:t xml:space="preserve"> w czasie (tylko dwa miesiące)</w:t>
      </w:r>
      <w:r>
        <w:t xml:space="preserve">. </w:t>
      </w:r>
    </w:p>
    <w:p w14:paraId="3A917FD8" w14:textId="77777777" w:rsidR="00ED4756" w:rsidRDefault="00ED4756" w:rsidP="005553DD">
      <w:pPr>
        <w:jc w:val="both"/>
        <w:rPr>
          <w:b/>
        </w:rPr>
      </w:pPr>
    </w:p>
    <w:p w14:paraId="1ACDF417" w14:textId="7B8D0CCA" w:rsidR="00A31E3A" w:rsidRDefault="00ED75F6" w:rsidP="005553DD">
      <w:pPr>
        <w:jc w:val="both"/>
        <w:rPr>
          <w:b/>
        </w:rPr>
      </w:pPr>
      <w:r w:rsidRPr="008741BC">
        <w:rPr>
          <w:b/>
        </w:rPr>
        <w:t xml:space="preserve">Główne postulaty </w:t>
      </w:r>
      <w:r w:rsidR="00AB59B7" w:rsidRPr="008741BC">
        <w:rPr>
          <w:b/>
        </w:rPr>
        <w:t>Sieci na rzecz Godnej Pieniężnej Pomocy Społecznej</w:t>
      </w:r>
    </w:p>
    <w:p w14:paraId="2B63F696" w14:textId="1ADFC31B" w:rsidR="00BA42A1" w:rsidRPr="008741BC" w:rsidRDefault="00BA42A1" w:rsidP="005553DD">
      <w:pPr>
        <w:jc w:val="both"/>
        <w:rPr>
          <w:b/>
        </w:rPr>
      </w:pPr>
      <w:r>
        <w:rPr>
          <w:b/>
        </w:rPr>
        <w:t>System wsparcia dochodowego ostatniej szansy powinien:</w:t>
      </w:r>
    </w:p>
    <w:p w14:paraId="3868662B" w14:textId="35736899" w:rsidR="00371538" w:rsidRDefault="00371538" w:rsidP="00371538">
      <w:pPr>
        <w:pStyle w:val="Akapitzlist"/>
        <w:numPr>
          <w:ilvl w:val="0"/>
          <w:numId w:val="3"/>
        </w:numPr>
        <w:jc w:val="both"/>
      </w:pPr>
      <w:r>
        <w:t>Zapewnić, że kryterium-standard będzie trwale wyższ</w:t>
      </w:r>
      <w:r w:rsidR="00BA42A1">
        <w:t>e</w:t>
      </w:r>
      <w:r>
        <w:t xml:space="preserve"> niż minimum egzystencji, w tym poprzez przyjęcie zasady, że w danym roku ma być on równy progowi interwencji socjalnej szacowanemu przez Instytut Pracy i Spraw Socjalnych dla poprzedniego roku.</w:t>
      </w:r>
    </w:p>
    <w:p w14:paraId="709C6833" w14:textId="77777777" w:rsidR="00371538" w:rsidRDefault="00371538" w:rsidP="00371538">
      <w:pPr>
        <w:pStyle w:val="Akapitzlist"/>
        <w:numPr>
          <w:ilvl w:val="0"/>
          <w:numId w:val="3"/>
        </w:numPr>
        <w:jc w:val="both"/>
      </w:pPr>
      <w:r>
        <w:t>Zapewnić, że kryterium-standard wsparcia będzie wyższy dla osób niezdolnych do pracy z powodu niepełnosprawności lub wieku oraz rodzin z takimi osobami (uprawnieni do zasiłków stałych). Próg interwencji socjalnej w tym przypadku powinien uwzględniać zwiększone potrzeby standardowe i specyficzne takich osób i rodzin.</w:t>
      </w:r>
    </w:p>
    <w:p w14:paraId="43715C52" w14:textId="77777777" w:rsidR="00371538" w:rsidRDefault="00371538" w:rsidP="00371538">
      <w:pPr>
        <w:pStyle w:val="Akapitzlist"/>
        <w:numPr>
          <w:ilvl w:val="0"/>
          <w:numId w:val="3"/>
        </w:numPr>
        <w:jc w:val="both"/>
      </w:pPr>
      <w:r>
        <w:t xml:space="preserve">Należy co roku publikować szacunki progu interwencji socjalnej dla różnych typów rodzin, w tym dla rodzin z dziećmi lub dorosłymi osobami z niepełnosprawnościami. Podobnie jak publikuje się corocznie dane o minimum egzystencji i minimum socjalnym. </w:t>
      </w:r>
    </w:p>
    <w:p w14:paraId="747F6E31" w14:textId="77777777" w:rsidR="00371538" w:rsidRDefault="00371538" w:rsidP="00371538">
      <w:pPr>
        <w:pStyle w:val="Akapitzlist"/>
        <w:numPr>
          <w:ilvl w:val="0"/>
          <w:numId w:val="3"/>
        </w:numPr>
        <w:jc w:val="both"/>
      </w:pPr>
      <w:r>
        <w:t>Aby zapobiec w przyszłości temu, że zabraknie woli politycznej dla waloryzacji progu interwencji socjalnej lub ustaleniu jej na zbyt niskim poziomie należy wzmocnić obecny system waloryzacji lub go zmienić. W szczególności należy skrócić okres waloryzacji oraz ustalić procedurę alarmową dla przypadków, gdy kryterium-standard zbliża się do minimum egzystencji. Procedura ta powinna skutkować obowiązkiem niezwłocznej aktualizacji kwot w odpowiednim rozporządzeniu.</w:t>
      </w:r>
    </w:p>
    <w:p w14:paraId="7B35787A" w14:textId="252739CA" w:rsidR="00ED75F6" w:rsidRDefault="00ED75F6" w:rsidP="005553DD">
      <w:pPr>
        <w:pStyle w:val="Akapitzlist"/>
        <w:numPr>
          <w:ilvl w:val="0"/>
          <w:numId w:val="3"/>
        </w:numPr>
        <w:jc w:val="both"/>
      </w:pPr>
      <w:r>
        <w:t>Zagwarantować wypłatę zasiłkó</w:t>
      </w:r>
      <w:r w:rsidR="00AD5C01">
        <w:t>w okresowych wszystkim rodzinom w pełnej 100%</w:t>
      </w:r>
      <w:r w:rsidR="000A78E6">
        <w:t xml:space="preserve"> wysokości, poprzez przejęcie przez budżet państwa w całości tego obowiązku.</w:t>
      </w:r>
      <w:r w:rsidR="00A66B6D">
        <w:t xml:space="preserve"> Uwolnione w ten sposób środki własne gmin powinny być wydane na </w:t>
      </w:r>
      <w:r w:rsidR="00BD072B">
        <w:t xml:space="preserve">poprawę dostępności i jakości </w:t>
      </w:r>
      <w:r w:rsidR="00A66B6D">
        <w:t>usług pomocy i integracji społecznej.</w:t>
      </w:r>
    </w:p>
    <w:p w14:paraId="58FAC3D7" w14:textId="19550A9C" w:rsidR="0071064F" w:rsidRDefault="0071064F" w:rsidP="005553DD">
      <w:pPr>
        <w:pStyle w:val="Akapitzlist"/>
        <w:numPr>
          <w:ilvl w:val="0"/>
          <w:numId w:val="3"/>
        </w:numPr>
        <w:jc w:val="both"/>
      </w:pPr>
      <w:r>
        <w:t>Zwiększyć szanse osób bezrobotnych korzystających z po</w:t>
      </w:r>
      <w:r w:rsidR="00C911DF">
        <w:t>mocy społecznej na zatrudnienie</w:t>
      </w:r>
      <w:r w:rsidR="008744C9">
        <w:t xml:space="preserve"> minimalnej jakości</w:t>
      </w:r>
      <w:r w:rsidR="00BD072B">
        <w:rPr>
          <w:rStyle w:val="Odwoanieprzypisudolnego"/>
        </w:rPr>
        <w:footnoteReference w:id="2"/>
      </w:r>
      <w:r w:rsidR="00C911DF">
        <w:t xml:space="preserve">, </w:t>
      </w:r>
      <w:r w:rsidR="008744C9">
        <w:t>nie tylko poprzez poprawę dostępności i jakości usług aktywizacji zawodowej</w:t>
      </w:r>
      <w:r w:rsidR="00BD072B">
        <w:t xml:space="preserve"> i społecznej</w:t>
      </w:r>
      <w:r w:rsidR="008744C9">
        <w:t>, ale również zmniejszając pułapkę ubóstwa</w:t>
      </w:r>
      <w:r w:rsidR="00AB2F11">
        <w:t xml:space="preserve">, w tym </w:t>
      </w:r>
      <w:r w:rsidR="008744C9">
        <w:t>poprzez</w:t>
      </w:r>
      <w:r w:rsidR="00BD072B">
        <w:t xml:space="preserve">: 1) </w:t>
      </w:r>
      <w:r w:rsidR="008744C9">
        <w:t xml:space="preserve">wydłużenie okresu, w którym można łączyć </w:t>
      </w:r>
      <w:r w:rsidR="00AB2F11">
        <w:t xml:space="preserve">niezmniejszony </w:t>
      </w:r>
      <w:r w:rsidR="008744C9">
        <w:t xml:space="preserve">zasiłek okresowy z dochodem z pracy po przekroczeniu </w:t>
      </w:r>
      <w:r w:rsidR="008744C9">
        <w:lastRenderedPageBreak/>
        <w:t>kryterium dochodowego</w:t>
      </w:r>
      <w:r w:rsidR="005553DD">
        <w:t xml:space="preserve"> w wyniku podjęcia zatrudnienia</w:t>
      </w:r>
      <w:r w:rsidR="00BD072B">
        <w:t>;</w:t>
      </w:r>
      <w:r w:rsidR="005E6968">
        <w:t xml:space="preserve"> </w:t>
      </w:r>
      <w:r w:rsidR="00BD072B">
        <w:t xml:space="preserve">2) </w:t>
      </w:r>
      <w:r w:rsidR="005553DD">
        <w:t xml:space="preserve">a </w:t>
      </w:r>
      <w:r w:rsidR="005E6968">
        <w:t xml:space="preserve">w razie nieprzekroczenia </w:t>
      </w:r>
      <w:r w:rsidR="00BD072B">
        <w:t xml:space="preserve">kryterium, </w:t>
      </w:r>
      <w:r w:rsidR="005553DD">
        <w:t xml:space="preserve">przyjęcie zasady, </w:t>
      </w:r>
      <w:r w:rsidR="00BD072B">
        <w:t xml:space="preserve">iż </w:t>
      </w:r>
      <w:r w:rsidR="005E6968">
        <w:t>dochody z pracy zmniejszają zasiłek okresowy w mniejszym stopniu niż obecnie</w:t>
      </w:r>
      <w:r w:rsidR="005553DD">
        <w:t>,</w:t>
      </w:r>
      <w:r w:rsidR="005E6968">
        <w:t xml:space="preserve"> np. gdy dochód z pracy rośnie z 0 do 200 zł, to zasiłek okresowy zmniejsza się nie o 100%, ale o 50%, czyli o 100 zł.</w:t>
      </w:r>
    </w:p>
    <w:p w14:paraId="7862220F" w14:textId="26C53626" w:rsidR="005E6968" w:rsidRDefault="005E6968" w:rsidP="005553DD">
      <w:pPr>
        <w:pStyle w:val="Akapitzlist"/>
        <w:numPr>
          <w:ilvl w:val="0"/>
          <w:numId w:val="3"/>
        </w:numPr>
        <w:jc w:val="both"/>
      </w:pPr>
      <w:r>
        <w:t xml:space="preserve">Zwiększyć dostępność wsparcia dochodowego ostatniej szansy, aby wszystkie osoby i rodziny w ubóstwie skrajnym </w:t>
      </w:r>
      <w:r w:rsidR="00BD072B">
        <w:t xml:space="preserve">miały szansę skorzystania </w:t>
      </w:r>
      <w:r>
        <w:t>z tego wsparcia, w tym poprzez zmniejszenie barier administracyjnych i uproszczenie biurokracji przeszkadzającej w dostępie, a także aktywne działania na rzecz zachęcenia rodzin do korzystania z pomocy</w:t>
      </w:r>
      <w:r w:rsidR="00BD072B">
        <w:t>, do której mają prawo</w:t>
      </w:r>
      <w:r>
        <w:t>.</w:t>
      </w:r>
    </w:p>
    <w:p w14:paraId="463E282A" w14:textId="69BA7E12" w:rsidR="005E6968" w:rsidRDefault="005E6968" w:rsidP="005553DD">
      <w:pPr>
        <w:pStyle w:val="Akapitzlist"/>
        <w:numPr>
          <w:ilvl w:val="0"/>
          <w:numId w:val="3"/>
        </w:numPr>
        <w:jc w:val="both"/>
      </w:pPr>
      <w:r>
        <w:t xml:space="preserve">Systematycznie monitorować </w:t>
      </w:r>
      <w:r w:rsidR="0002054A">
        <w:t xml:space="preserve">dostępność i </w:t>
      </w:r>
      <w:r>
        <w:t>skuteczność wsparcia dochodowego ostatniej szansy w łagodzeniu skrajnego ubóstwa. Analizować dane z monitoringu i wyciągać wnioski dotyczące tego, w jaki sposób można poprawić jakość tego wsparcia.</w:t>
      </w:r>
      <w:r w:rsidR="0002054A">
        <w:t xml:space="preserve"> W monitoringu uwzględniać należy głosy tych rodzin, które bezpośrednio korzystają z pomocy.</w:t>
      </w:r>
    </w:p>
    <w:p w14:paraId="719A2C01" w14:textId="4B406CE6" w:rsidR="00BD072B" w:rsidRDefault="00BD072B" w:rsidP="005553DD">
      <w:pPr>
        <w:pStyle w:val="Akapitzlist"/>
        <w:numPr>
          <w:ilvl w:val="0"/>
          <w:numId w:val="3"/>
        </w:numPr>
        <w:jc w:val="both"/>
      </w:pPr>
      <w:r>
        <w:t>Wdrażać w Polsce politykę aktywnej integracji społecznej według zasad</w:t>
      </w:r>
      <w:r w:rsidR="005553DD">
        <w:t xml:space="preserve"> uzgodnionych w Unii Europejskiej</w:t>
      </w:r>
      <w:r>
        <w:rPr>
          <w:rStyle w:val="Odwoanieprzypisudolnego"/>
        </w:rPr>
        <w:footnoteReference w:id="3"/>
      </w:r>
      <w:r w:rsidR="00D20BB2">
        <w:t>, czyli w sposób skoordynowany łączyć ze sobą wsparcie dochodowe, działania na rzecz zatrudnienia i usługi społeczne poprawiające jakość życia.</w:t>
      </w:r>
    </w:p>
    <w:p w14:paraId="32836556" w14:textId="77777777" w:rsidR="0002054A" w:rsidRDefault="0002054A" w:rsidP="003963D8">
      <w:pPr>
        <w:jc w:val="both"/>
        <w:rPr>
          <w:i/>
        </w:rPr>
      </w:pPr>
    </w:p>
    <w:p w14:paraId="0BF0B79A" w14:textId="63AD7FAF" w:rsidR="00BD2B67" w:rsidRDefault="00BD2B67" w:rsidP="003963D8">
      <w:pPr>
        <w:jc w:val="both"/>
        <w:rPr>
          <w:i/>
        </w:rPr>
      </w:pPr>
      <w:r>
        <w:rPr>
          <w:i/>
        </w:rPr>
        <w:t>Powyższa wersja dokumentu powstała na podstawie wstępnej wersji raportu o pieniężnej pomocy społecznej</w:t>
      </w:r>
      <w:r w:rsidR="00ED4756">
        <w:rPr>
          <w:i/>
        </w:rPr>
        <w:t xml:space="preserve"> w Polsce</w:t>
      </w:r>
      <w:r>
        <w:rPr>
          <w:i/>
        </w:rPr>
        <w:t xml:space="preserve">, a także w wyniku dyskusji na Zgromadzeniu </w:t>
      </w:r>
      <w:r w:rsidR="00ED4756">
        <w:rPr>
          <w:i/>
        </w:rPr>
        <w:t>O</w:t>
      </w:r>
      <w:r>
        <w:rPr>
          <w:i/>
        </w:rPr>
        <w:t xml:space="preserve">gólnym </w:t>
      </w:r>
      <w:r w:rsidR="00ED4756">
        <w:rPr>
          <w:i/>
        </w:rPr>
        <w:t xml:space="preserve">(czerwiec 2014) </w:t>
      </w:r>
      <w:r>
        <w:rPr>
          <w:i/>
        </w:rPr>
        <w:t xml:space="preserve">oraz Radzie Wykonawczej </w:t>
      </w:r>
      <w:r w:rsidR="00ED4756">
        <w:rPr>
          <w:i/>
        </w:rPr>
        <w:t xml:space="preserve">(lipiec 2014) </w:t>
      </w:r>
      <w:r>
        <w:rPr>
          <w:i/>
        </w:rPr>
        <w:t>Polskiego Komitetu EAPN.</w:t>
      </w:r>
      <w:r w:rsidR="00ED4756">
        <w:rPr>
          <w:i/>
        </w:rPr>
        <w:t xml:space="preserve"> W ramach konsultacji wewnętrznych EAPN planowana jest jeszcze między innymi dyskusja na spotkaniu Rady Ekspertów Społecznych (wrzesień 2014).</w:t>
      </w:r>
    </w:p>
    <w:p w14:paraId="757D1129" w14:textId="12083C7C" w:rsidR="005553DD" w:rsidRDefault="003963D8" w:rsidP="003963D8">
      <w:pPr>
        <w:jc w:val="both"/>
        <w:rPr>
          <w:i/>
        </w:rPr>
      </w:pPr>
      <w:r w:rsidRPr="003963D8">
        <w:rPr>
          <w:i/>
        </w:rPr>
        <w:t>Deklaracja</w:t>
      </w:r>
      <w:r>
        <w:rPr>
          <w:i/>
        </w:rPr>
        <w:t xml:space="preserve"> zostanie przedstawiona na konferencji 26 września. Opinie na jej temat wygłoszą przedstawiciele głównych interesariuszy pomocy społecznej (</w:t>
      </w:r>
      <w:proofErr w:type="spellStart"/>
      <w:r>
        <w:rPr>
          <w:i/>
        </w:rPr>
        <w:t>MPiPS</w:t>
      </w:r>
      <w:proofErr w:type="spellEnd"/>
      <w:r>
        <w:rPr>
          <w:i/>
        </w:rPr>
        <w:t>, związki zawodowe, związki ośrodków pomocy społecznej). Ostateczna wersja Deklaracji powstanie po uwzględnieniu w</w:t>
      </w:r>
      <w:r w:rsidR="00160C20">
        <w:rPr>
          <w:i/>
        </w:rPr>
        <w:t>niosków z tej dyskusji.</w:t>
      </w:r>
    </w:p>
    <w:p w14:paraId="7DD93AA6" w14:textId="77777777" w:rsidR="0002054A" w:rsidRDefault="0002054A" w:rsidP="003963D8">
      <w:pPr>
        <w:jc w:val="both"/>
        <w:rPr>
          <w:i/>
        </w:rPr>
      </w:pPr>
    </w:p>
    <w:sectPr w:rsidR="0002054A" w:rsidSect="005553D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0FE34" w14:textId="77777777" w:rsidR="00254898" w:rsidRDefault="00254898" w:rsidP="002D1D7E">
      <w:pPr>
        <w:spacing w:after="0" w:line="240" w:lineRule="auto"/>
      </w:pPr>
      <w:r>
        <w:separator/>
      </w:r>
    </w:p>
  </w:endnote>
  <w:endnote w:type="continuationSeparator" w:id="0">
    <w:p w14:paraId="532F4457" w14:textId="77777777" w:rsidR="00254898" w:rsidRDefault="00254898" w:rsidP="002D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398925"/>
      <w:docPartObj>
        <w:docPartGallery w:val="Page Numbers (Bottom of Page)"/>
        <w:docPartUnique/>
      </w:docPartObj>
    </w:sdtPr>
    <w:sdtEndPr/>
    <w:sdtContent>
      <w:p w14:paraId="4A7C85A2" w14:textId="1DB5B7DB" w:rsidR="005553DD" w:rsidRDefault="005553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1A">
          <w:rPr>
            <w:noProof/>
          </w:rPr>
          <w:t>1</w:t>
        </w:r>
        <w:r>
          <w:fldChar w:fldCharType="end"/>
        </w:r>
      </w:p>
    </w:sdtContent>
  </w:sdt>
  <w:p w14:paraId="360E879A" w14:textId="77777777" w:rsidR="005553DD" w:rsidRDefault="00555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C11DE" w14:textId="77777777" w:rsidR="00254898" w:rsidRDefault="00254898" w:rsidP="002D1D7E">
      <w:pPr>
        <w:spacing w:after="0" w:line="240" w:lineRule="auto"/>
      </w:pPr>
      <w:r>
        <w:separator/>
      </w:r>
    </w:p>
  </w:footnote>
  <w:footnote w:type="continuationSeparator" w:id="0">
    <w:p w14:paraId="2CD2C9F5" w14:textId="77777777" w:rsidR="00254898" w:rsidRDefault="00254898" w:rsidP="002D1D7E">
      <w:pPr>
        <w:spacing w:after="0" w:line="240" w:lineRule="auto"/>
      </w:pPr>
      <w:r>
        <w:continuationSeparator/>
      </w:r>
    </w:p>
  </w:footnote>
  <w:footnote w:id="1">
    <w:p w14:paraId="2245DDC5" w14:textId="77777777" w:rsidR="00ED4756" w:rsidRPr="00DF304B" w:rsidRDefault="00ED4756" w:rsidP="00ED47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F304B">
          <w:rPr>
            <w:rStyle w:val="Hipercze"/>
            <w:i/>
          </w:rPr>
          <w:t>Ubóstwo dzieci i osób z niepełnosprawnościami</w:t>
        </w:r>
        <w:r w:rsidRPr="00DF304B">
          <w:rPr>
            <w:rStyle w:val="Hipercze"/>
          </w:rPr>
          <w:t xml:space="preserve">. </w:t>
        </w:r>
        <w:r w:rsidRPr="00DF304B">
          <w:rPr>
            <w:rStyle w:val="Hipercze"/>
            <w:i/>
          </w:rPr>
          <w:t>Wkład do alternatywnych raportów o tym, jak Polska przestrzega Konwencji Praw Dziecka i Konwencji Praw Osób niepełnosprawnych w obszarze zabezpieczenia odpowiedniego poziomu życia i pomocy w razie ubóstwa</w:t>
        </w:r>
        <w:r w:rsidRPr="00DF304B">
          <w:rPr>
            <w:rStyle w:val="Hipercze"/>
          </w:rPr>
          <w:t>, PK EAPN, wersja wstępna 2014</w:t>
        </w:r>
      </w:hyperlink>
      <w:r>
        <w:t>.</w:t>
      </w:r>
    </w:p>
  </w:footnote>
  <w:footnote w:id="2">
    <w:p w14:paraId="7A587F0D" w14:textId="610527B4" w:rsidR="00BD072B" w:rsidRDefault="00BD072B" w:rsidP="00BD07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BD072B">
          <w:rPr>
            <w:rStyle w:val="Hipercze"/>
            <w:i/>
          </w:rPr>
          <w:t>Jakość pracy i zatrudnienia w UE przewodnik EAPN nr 5. Streszczenie</w:t>
        </w:r>
        <w:r w:rsidRPr="00BD072B">
          <w:rPr>
            <w:rStyle w:val="Hipercze"/>
          </w:rPr>
          <w:t>, EAPN 2014</w:t>
        </w:r>
      </w:hyperlink>
      <w:r>
        <w:t xml:space="preserve">. </w:t>
      </w:r>
    </w:p>
  </w:footnote>
  <w:footnote w:id="3">
    <w:p w14:paraId="4A6FE397" w14:textId="1DD1093F" w:rsidR="00BD072B" w:rsidRDefault="00BD07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="005553DD" w:rsidRPr="005553DD">
          <w:rPr>
            <w:rStyle w:val="Hipercze"/>
            <w:i/>
          </w:rPr>
          <w:t>10 argumentów za aktywną integracją społeczną</w:t>
        </w:r>
        <w:r w:rsidR="005553DD" w:rsidRPr="005553DD">
          <w:rPr>
            <w:rStyle w:val="Hipercze"/>
          </w:rPr>
          <w:t>, EAPN 2014</w:t>
        </w:r>
      </w:hyperlink>
      <w:r w:rsidR="005553D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26A"/>
    <w:multiLevelType w:val="hybridMultilevel"/>
    <w:tmpl w:val="603A2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E5A92"/>
    <w:multiLevelType w:val="hybridMultilevel"/>
    <w:tmpl w:val="D28A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276E7"/>
    <w:multiLevelType w:val="hybridMultilevel"/>
    <w:tmpl w:val="825C8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0B294E"/>
    <w:multiLevelType w:val="hybridMultilevel"/>
    <w:tmpl w:val="A52C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E2D5C"/>
    <w:multiLevelType w:val="hybridMultilevel"/>
    <w:tmpl w:val="C0D09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406BC"/>
    <w:multiLevelType w:val="hybridMultilevel"/>
    <w:tmpl w:val="1278C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3A"/>
    <w:rsid w:val="000013B0"/>
    <w:rsid w:val="0002054A"/>
    <w:rsid w:val="00054182"/>
    <w:rsid w:val="000A78E6"/>
    <w:rsid w:val="001416B3"/>
    <w:rsid w:val="00150DE4"/>
    <w:rsid w:val="00160C20"/>
    <w:rsid w:val="00181264"/>
    <w:rsid w:val="0024201D"/>
    <w:rsid w:val="00254898"/>
    <w:rsid w:val="002D1D7E"/>
    <w:rsid w:val="00371538"/>
    <w:rsid w:val="003963D8"/>
    <w:rsid w:val="00417903"/>
    <w:rsid w:val="00473712"/>
    <w:rsid w:val="0048086C"/>
    <w:rsid w:val="004A6A31"/>
    <w:rsid w:val="004C13FA"/>
    <w:rsid w:val="004D2692"/>
    <w:rsid w:val="004E47C1"/>
    <w:rsid w:val="00543B8C"/>
    <w:rsid w:val="00543EEC"/>
    <w:rsid w:val="00546E83"/>
    <w:rsid w:val="005553DD"/>
    <w:rsid w:val="00574A25"/>
    <w:rsid w:val="005C295C"/>
    <w:rsid w:val="005D152F"/>
    <w:rsid w:val="005D19DF"/>
    <w:rsid w:val="005E6968"/>
    <w:rsid w:val="005E72BF"/>
    <w:rsid w:val="0061133E"/>
    <w:rsid w:val="00627637"/>
    <w:rsid w:val="00633DF2"/>
    <w:rsid w:val="00640406"/>
    <w:rsid w:val="0066252B"/>
    <w:rsid w:val="0071064F"/>
    <w:rsid w:val="00744F5E"/>
    <w:rsid w:val="00751482"/>
    <w:rsid w:val="00794B6A"/>
    <w:rsid w:val="008741BC"/>
    <w:rsid w:val="008744C9"/>
    <w:rsid w:val="00943C97"/>
    <w:rsid w:val="00977AF9"/>
    <w:rsid w:val="00995D1A"/>
    <w:rsid w:val="009C48B8"/>
    <w:rsid w:val="009E6BAE"/>
    <w:rsid w:val="00A31E3A"/>
    <w:rsid w:val="00A40DBA"/>
    <w:rsid w:val="00A66B6D"/>
    <w:rsid w:val="00AB2F11"/>
    <w:rsid w:val="00AB59B7"/>
    <w:rsid w:val="00AD5C01"/>
    <w:rsid w:val="00B75233"/>
    <w:rsid w:val="00BA42A1"/>
    <w:rsid w:val="00BC27C2"/>
    <w:rsid w:val="00BD072B"/>
    <w:rsid w:val="00BD2B67"/>
    <w:rsid w:val="00C911DF"/>
    <w:rsid w:val="00D20BB2"/>
    <w:rsid w:val="00D513D6"/>
    <w:rsid w:val="00DC02F1"/>
    <w:rsid w:val="00DC69CF"/>
    <w:rsid w:val="00DC7F42"/>
    <w:rsid w:val="00DD4448"/>
    <w:rsid w:val="00DF304B"/>
    <w:rsid w:val="00ED4756"/>
    <w:rsid w:val="00ED75F6"/>
    <w:rsid w:val="00F0654C"/>
    <w:rsid w:val="00F8192D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D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2F1"/>
    <w:rPr>
      <w:b/>
      <w:bCs/>
      <w:sz w:val="20"/>
      <w:szCs w:val="20"/>
    </w:rPr>
  </w:style>
  <w:style w:type="character" w:customStyle="1" w:styleId="TekstprzypisudolnegoZnak">
    <w:name w:val="Tekst przypisu dolnego Znak"/>
    <w:aliases w:val="Znak3 Znak Znak,Tekst przypisu dolnego Znak Znak Znak,Podrozdział Znak Znak Znak Znak,Znak1 Znak Znak,Tekst przypisu dolnego Znak1 Znak Znak,Podrozdział Znak Znak1 Znak Znak,Znak1 Znak1 Znak Znak,Znak1 Znak2 Znak"/>
    <w:basedOn w:val="Domylnaczcionkaakapitu"/>
    <w:link w:val="Tekstprzypisudolnego"/>
    <w:uiPriority w:val="99"/>
    <w:locked/>
    <w:rsid w:val="002D1D7E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Znak3 Znak,Tekst przypisu dolnego Znak Znak,Podrozdział Znak Znak Znak,Znak1 Znak,Tekst przypisu dolnego Znak1 Znak,Podrozdział Znak Znak1 Znak,Znak1 Znak1 Znak,Znak1 Znak2,Tekst przypisu,Tekst przypisu dolnego-poligrafia,Footnote"/>
    <w:basedOn w:val="Normalny"/>
    <w:link w:val="TekstprzypisudolnegoZnak"/>
    <w:uiPriority w:val="99"/>
    <w:unhideWhenUsed/>
    <w:rsid w:val="002D1D7E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D1D7E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2D1D7E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7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DD"/>
  </w:style>
  <w:style w:type="paragraph" w:styleId="Stopka">
    <w:name w:val="footer"/>
    <w:basedOn w:val="Normalny"/>
    <w:link w:val="StopkaZnak"/>
    <w:uiPriority w:val="99"/>
    <w:unhideWhenUsed/>
    <w:rsid w:val="0055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2F1"/>
    <w:rPr>
      <w:b/>
      <w:bCs/>
      <w:sz w:val="20"/>
      <w:szCs w:val="20"/>
    </w:rPr>
  </w:style>
  <w:style w:type="character" w:customStyle="1" w:styleId="TekstprzypisudolnegoZnak">
    <w:name w:val="Tekst przypisu dolnego Znak"/>
    <w:aliases w:val="Znak3 Znak Znak,Tekst przypisu dolnego Znak Znak Znak,Podrozdział Znak Znak Znak Znak,Znak1 Znak Znak,Tekst przypisu dolnego Znak1 Znak Znak,Podrozdział Znak Znak1 Znak Znak,Znak1 Znak1 Znak Znak,Znak1 Znak2 Znak"/>
    <w:basedOn w:val="Domylnaczcionkaakapitu"/>
    <w:link w:val="Tekstprzypisudolnego"/>
    <w:uiPriority w:val="99"/>
    <w:locked/>
    <w:rsid w:val="002D1D7E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Znak3 Znak,Tekst przypisu dolnego Znak Znak,Podrozdział Znak Znak Znak,Znak1 Znak,Tekst przypisu dolnego Znak1 Znak,Podrozdział Znak Znak1 Znak,Znak1 Znak1 Znak,Znak1 Znak2,Tekst przypisu,Tekst przypisu dolnego-poligrafia,Footnote"/>
    <w:basedOn w:val="Normalny"/>
    <w:link w:val="TekstprzypisudolnegoZnak"/>
    <w:uiPriority w:val="99"/>
    <w:unhideWhenUsed/>
    <w:rsid w:val="002D1D7E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D1D7E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2D1D7E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7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DD"/>
  </w:style>
  <w:style w:type="paragraph" w:styleId="Stopka">
    <w:name w:val="footer"/>
    <w:basedOn w:val="Normalny"/>
    <w:link w:val="StopkaZnak"/>
    <w:uiPriority w:val="99"/>
    <w:unhideWhenUsed/>
    <w:rsid w:val="0055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pn.org.pl/wp-content/uploads/2014/08/10_aktywna_integracja.pdf" TargetMode="External"/><Relationship Id="rId2" Type="http://schemas.openxmlformats.org/officeDocument/2006/relationships/hyperlink" Target="http://www.eapn.org.pl/wp-content/uploads/2014/07/EAPNjakosc_pracy_skrot.pdf" TargetMode="External"/><Relationship Id="rId1" Type="http://schemas.openxmlformats.org/officeDocument/2006/relationships/hyperlink" Target="http://www.eapn.org.pl/wp-content/uploads/2014/08/ubostwo_konwencj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5ECD-3011-4450-AD43-2FD325AF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9306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Polskiej Sieci na rzecz Godnej Pieniężnej Pomocy Społecznej</vt:lpstr>
    </vt:vector>
  </TitlesOfParts>
  <Company>WRZOS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Polskiej Sieci na rzecz Godnej Pieniężnej Pomocy Społecznej</dc:title>
  <dc:creator>Polski Komitet EAPN</dc:creator>
  <cp:keywords>zasiłek stały, zasiłek okresowy, wsparcie dochodowe, pomoc społeczna, ubóstwo, deklaracja, sieć, EAPN</cp:keywords>
  <cp:lastModifiedBy>Kamila Płowiec</cp:lastModifiedBy>
  <cp:revision>2</cp:revision>
  <cp:lastPrinted>2014-07-23T08:29:00Z</cp:lastPrinted>
  <dcterms:created xsi:type="dcterms:W3CDTF">2014-09-09T09:16:00Z</dcterms:created>
  <dcterms:modified xsi:type="dcterms:W3CDTF">2014-09-09T09:16:00Z</dcterms:modified>
</cp:coreProperties>
</file>